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CB" w:rsidRDefault="00216051" w:rsidP="00216051">
      <w:pPr>
        <w:jc w:val="center"/>
      </w:pPr>
      <w:bookmarkStart w:id="0" w:name="_GoBack"/>
      <w:bookmarkEnd w:id="0"/>
      <w:r>
        <w:rPr>
          <w:noProof/>
          <w:lang w:val="en-US"/>
        </w:rPr>
        <w:drawing>
          <wp:inline distT="0" distB="0" distL="0" distR="0">
            <wp:extent cx="1853184" cy="103327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PP zna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3184" cy="1033272"/>
                    </a:xfrm>
                    <a:prstGeom prst="rect">
                      <a:avLst/>
                    </a:prstGeom>
                  </pic:spPr>
                </pic:pic>
              </a:graphicData>
            </a:graphic>
          </wp:inline>
        </w:drawing>
      </w:r>
    </w:p>
    <w:p w:rsidR="00216051" w:rsidRDefault="00216051" w:rsidP="00216051">
      <w:pPr>
        <w:jc w:val="center"/>
      </w:pPr>
    </w:p>
    <w:p w:rsidR="003F79F8" w:rsidRDefault="00670A3D" w:rsidP="003F79F8">
      <w:pPr>
        <w:jc w:val="center"/>
        <w:rPr>
          <w:b/>
          <w:sz w:val="72"/>
          <w:szCs w:val="72"/>
        </w:rPr>
      </w:pPr>
      <w:r>
        <w:rPr>
          <w:b/>
          <w:sz w:val="72"/>
          <w:szCs w:val="72"/>
        </w:rPr>
        <w:t>ZAŽGIMO v 2023</w:t>
      </w:r>
    </w:p>
    <w:p w:rsidR="00C01E2C" w:rsidRDefault="00670A3D" w:rsidP="003F79F8">
      <w:pPr>
        <w:jc w:val="center"/>
        <w:rPr>
          <w:b/>
          <w:sz w:val="72"/>
          <w:szCs w:val="72"/>
        </w:rPr>
      </w:pPr>
      <w:r>
        <w:rPr>
          <w:b/>
          <w:sz w:val="72"/>
          <w:szCs w:val="72"/>
        </w:rPr>
        <w:t>(20, 21, 22</w:t>
      </w:r>
      <w:r w:rsidR="00C01E2C">
        <w:rPr>
          <w:b/>
          <w:sz w:val="72"/>
          <w:szCs w:val="72"/>
        </w:rPr>
        <w:t>)</w:t>
      </w:r>
    </w:p>
    <w:p w:rsidR="003F79F8" w:rsidRPr="003F79F8" w:rsidRDefault="003F79F8" w:rsidP="003F79F8">
      <w:pPr>
        <w:jc w:val="center"/>
      </w:pPr>
    </w:p>
    <w:p w:rsidR="003F79F8" w:rsidRPr="003F79F8" w:rsidRDefault="003F79F8" w:rsidP="00FC07EA">
      <w:pPr>
        <w:jc w:val="both"/>
        <w:rPr>
          <w:sz w:val="28"/>
          <w:szCs w:val="28"/>
        </w:rPr>
      </w:pPr>
      <w:r w:rsidRPr="003F79F8">
        <w:rPr>
          <w:sz w:val="28"/>
          <w:szCs w:val="28"/>
        </w:rPr>
        <w:t>Lep pozdrav !</w:t>
      </w:r>
      <w:r w:rsidR="00C01E2C">
        <w:rPr>
          <w:sz w:val="28"/>
          <w:szCs w:val="28"/>
        </w:rPr>
        <w:t xml:space="preserve"> </w:t>
      </w:r>
    </w:p>
    <w:p w:rsidR="00670A3D" w:rsidRDefault="00670A3D" w:rsidP="00FC07EA">
      <w:pPr>
        <w:jc w:val="both"/>
        <w:rPr>
          <w:sz w:val="28"/>
          <w:szCs w:val="28"/>
        </w:rPr>
      </w:pPr>
    </w:p>
    <w:p w:rsidR="00C01E2C" w:rsidRDefault="00670A3D" w:rsidP="00FC07EA">
      <w:pPr>
        <w:jc w:val="both"/>
        <w:rPr>
          <w:sz w:val="28"/>
          <w:szCs w:val="28"/>
        </w:rPr>
      </w:pPr>
      <w:r>
        <w:rPr>
          <w:sz w:val="28"/>
          <w:szCs w:val="28"/>
        </w:rPr>
        <w:t xml:space="preserve">Tukaj je letošnji načrt delavnic Zažgimo. </w:t>
      </w:r>
    </w:p>
    <w:p w:rsidR="00670A3D" w:rsidRPr="00670A3D" w:rsidRDefault="00670A3D" w:rsidP="00FC07EA">
      <w:pPr>
        <w:jc w:val="both"/>
        <w:rPr>
          <w:b/>
          <w:sz w:val="28"/>
          <w:szCs w:val="28"/>
        </w:rPr>
      </w:pPr>
      <w:r w:rsidRPr="00670A3D">
        <w:rPr>
          <w:b/>
          <w:sz w:val="28"/>
          <w:szCs w:val="28"/>
        </w:rPr>
        <w:t>Zažgimo 20 – obvara, saggar, raku</w:t>
      </w:r>
    </w:p>
    <w:p w:rsidR="00670A3D" w:rsidRPr="00670A3D" w:rsidRDefault="00C74068" w:rsidP="00FC07EA">
      <w:pPr>
        <w:jc w:val="both"/>
        <w:rPr>
          <w:b/>
          <w:sz w:val="28"/>
          <w:szCs w:val="28"/>
        </w:rPr>
      </w:pPr>
      <w:r>
        <w:rPr>
          <w:b/>
          <w:sz w:val="28"/>
          <w:szCs w:val="28"/>
        </w:rPr>
        <w:t xml:space="preserve">Labor, 26. in 27. maj </w:t>
      </w:r>
    </w:p>
    <w:p w:rsidR="00670A3D" w:rsidRDefault="00670A3D" w:rsidP="00FC07EA">
      <w:pPr>
        <w:jc w:val="both"/>
        <w:rPr>
          <w:sz w:val="28"/>
          <w:szCs w:val="28"/>
        </w:rPr>
      </w:pPr>
      <w:r>
        <w:rPr>
          <w:sz w:val="28"/>
          <w:szCs w:val="28"/>
        </w:rPr>
        <w:t>Začetek v petek 26.5. ob 16.00 in potem v soboto cel dan. Prvi dan pripravimo in zažgemo saggar v sodu na drva, drugi dan pa odžgemo še različne verzije rakuja. Na voljo je prozorna glazura, copper mat pa tudi malo čazo lizzard je še ostalo.</w:t>
      </w:r>
    </w:p>
    <w:p w:rsidR="00670A3D" w:rsidRDefault="00670A3D" w:rsidP="00FC07EA">
      <w:pPr>
        <w:jc w:val="both"/>
        <w:rPr>
          <w:sz w:val="28"/>
          <w:szCs w:val="28"/>
        </w:rPr>
      </w:pPr>
      <w:r>
        <w:rPr>
          <w:sz w:val="28"/>
          <w:szCs w:val="28"/>
        </w:rPr>
        <w:t xml:space="preserve">Za saggar pripravite nekaj manjših biskvitno žganih izdelkov. Efekti so bolje vidni na beli glini. </w:t>
      </w:r>
      <w:r w:rsidR="001239F3">
        <w:rPr>
          <w:sz w:val="28"/>
          <w:szCs w:val="28"/>
        </w:rPr>
        <w:t xml:space="preserve">Izdelki naj bodo polirani. </w:t>
      </w:r>
      <w:r>
        <w:rPr>
          <w:sz w:val="28"/>
          <w:szCs w:val="28"/>
        </w:rPr>
        <w:t>Glina ni nujno šamotirana.</w:t>
      </w:r>
    </w:p>
    <w:p w:rsidR="00670A3D" w:rsidRDefault="00670A3D" w:rsidP="00FC07EA">
      <w:pPr>
        <w:jc w:val="both"/>
        <w:rPr>
          <w:sz w:val="28"/>
          <w:szCs w:val="28"/>
        </w:rPr>
      </w:pPr>
      <w:r>
        <w:rPr>
          <w:sz w:val="28"/>
          <w:szCs w:val="28"/>
        </w:rPr>
        <w:t>Za raku žganja imejte do 3 že žgane izdelke iz raku šamotirane gline velikosti do 15 cm. Izogibajte se pladnjem in širokim skledam.</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E1F15" w:rsidTr="00AE6118">
        <w:tc>
          <w:tcPr>
            <w:tcW w:w="3020" w:type="dxa"/>
          </w:tcPr>
          <w:p w:rsidR="00D32979" w:rsidRDefault="009E1F15" w:rsidP="009E1F15">
            <w:pPr>
              <w:jc w:val="center"/>
              <w:rPr>
                <w:sz w:val="28"/>
                <w:szCs w:val="28"/>
              </w:rPr>
            </w:pPr>
            <w:r>
              <w:rPr>
                <w:noProof/>
                <w:sz w:val="28"/>
                <w:szCs w:val="28"/>
                <w:lang w:val="en-US"/>
              </w:rPr>
              <w:drawing>
                <wp:inline distT="0" distB="0" distL="0" distR="0">
                  <wp:extent cx="2322277" cy="1741708"/>
                  <wp:effectExtent l="4763" t="0" r="6667" b="6668"/>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428_090118_HDR.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331721" cy="1748791"/>
                          </a:xfrm>
                          <a:prstGeom prst="rect">
                            <a:avLst/>
                          </a:prstGeom>
                        </pic:spPr>
                      </pic:pic>
                    </a:graphicData>
                  </a:graphic>
                </wp:inline>
              </w:drawing>
            </w:r>
          </w:p>
        </w:tc>
        <w:tc>
          <w:tcPr>
            <w:tcW w:w="3021" w:type="dxa"/>
          </w:tcPr>
          <w:p w:rsidR="00D32979" w:rsidRDefault="009E1F15" w:rsidP="009E1F15">
            <w:pPr>
              <w:jc w:val="center"/>
              <w:rPr>
                <w:sz w:val="28"/>
                <w:szCs w:val="28"/>
              </w:rPr>
            </w:pPr>
            <w:r>
              <w:rPr>
                <w:noProof/>
                <w:sz w:val="28"/>
                <w:szCs w:val="28"/>
                <w:lang w:val="en-US"/>
              </w:rPr>
              <w:drawing>
                <wp:inline distT="0" distB="0" distL="0" distR="0">
                  <wp:extent cx="2284838" cy="1713629"/>
                  <wp:effectExtent l="0" t="0" r="127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0605_133542.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300206" cy="1725155"/>
                          </a:xfrm>
                          <a:prstGeom prst="rect">
                            <a:avLst/>
                          </a:prstGeom>
                        </pic:spPr>
                      </pic:pic>
                    </a:graphicData>
                  </a:graphic>
                </wp:inline>
              </w:drawing>
            </w:r>
          </w:p>
        </w:tc>
        <w:tc>
          <w:tcPr>
            <w:tcW w:w="3021" w:type="dxa"/>
          </w:tcPr>
          <w:p w:rsidR="00D32979" w:rsidRDefault="00670A3D" w:rsidP="009E1F15">
            <w:pPr>
              <w:jc w:val="center"/>
              <w:rPr>
                <w:sz w:val="28"/>
                <w:szCs w:val="28"/>
              </w:rPr>
            </w:pPr>
            <w:r>
              <w:rPr>
                <w:noProof/>
                <w:sz w:val="28"/>
                <w:szCs w:val="28"/>
                <w:lang w:val="en-US"/>
              </w:rPr>
              <w:drawing>
                <wp:inline distT="0" distB="0" distL="0" distR="0">
                  <wp:extent cx="2295042" cy="1535415"/>
                  <wp:effectExtent l="0" t="953"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asja_Nanut_Ne grize, samo liže 1.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301309" cy="1539608"/>
                          </a:xfrm>
                          <a:prstGeom prst="rect">
                            <a:avLst/>
                          </a:prstGeom>
                        </pic:spPr>
                      </pic:pic>
                    </a:graphicData>
                  </a:graphic>
                </wp:inline>
              </w:drawing>
            </w:r>
          </w:p>
        </w:tc>
      </w:tr>
      <w:tr w:rsidR="009E1F15" w:rsidTr="00AE6118">
        <w:tc>
          <w:tcPr>
            <w:tcW w:w="3020" w:type="dxa"/>
          </w:tcPr>
          <w:p w:rsidR="00D32979" w:rsidRDefault="009E1F15" w:rsidP="009E1F15">
            <w:pPr>
              <w:jc w:val="center"/>
              <w:rPr>
                <w:sz w:val="28"/>
                <w:szCs w:val="28"/>
              </w:rPr>
            </w:pPr>
            <w:r>
              <w:rPr>
                <w:sz w:val="28"/>
                <w:szCs w:val="28"/>
              </w:rPr>
              <w:t>Copper matt</w:t>
            </w:r>
          </w:p>
        </w:tc>
        <w:tc>
          <w:tcPr>
            <w:tcW w:w="3021" w:type="dxa"/>
          </w:tcPr>
          <w:p w:rsidR="00D32979" w:rsidRDefault="009E1F15" w:rsidP="009E1F15">
            <w:pPr>
              <w:jc w:val="center"/>
              <w:rPr>
                <w:sz w:val="28"/>
                <w:szCs w:val="28"/>
              </w:rPr>
            </w:pPr>
            <w:r>
              <w:rPr>
                <w:sz w:val="28"/>
                <w:szCs w:val="28"/>
              </w:rPr>
              <w:t>Čazo lizard</w:t>
            </w:r>
          </w:p>
        </w:tc>
        <w:tc>
          <w:tcPr>
            <w:tcW w:w="3021" w:type="dxa"/>
          </w:tcPr>
          <w:p w:rsidR="00D32979" w:rsidRDefault="00670A3D" w:rsidP="009E1F15">
            <w:pPr>
              <w:jc w:val="center"/>
              <w:rPr>
                <w:sz w:val="28"/>
                <w:szCs w:val="28"/>
              </w:rPr>
            </w:pPr>
            <w:r>
              <w:rPr>
                <w:sz w:val="28"/>
                <w:szCs w:val="28"/>
              </w:rPr>
              <w:t>Obvara</w:t>
            </w:r>
          </w:p>
        </w:tc>
      </w:tr>
    </w:tbl>
    <w:p w:rsidR="00D32979" w:rsidRDefault="00D32979" w:rsidP="00FC07EA">
      <w:pPr>
        <w:jc w:val="both"/>
        <w:rPr>
          <w:sz w:val="28"/>
          <w:szCs w:val="28"/>
        </w:rPr>
      </w:pPr>
    </w:p>
    <w:p w:rsidR="009E1F15" w:rsidRPr="00AE6118" w:rsidRDefault="00C74068" w:rsidP="009E1F15">
      <w:pPr>
        <w:jc w:val="both"/>
        <w:rPr>
          <w:b/>
          <w:sz w:val="28"/>
          <w:szCs w:val="28"/>
        </w:rPr>
      </w:pPr>
      <w:r>
        <w:rPr>
          <w:b/>
          <w:sz w:val="28"/>
          <w:szCs w:val="28"/>
        </w:rPr>
        <w:lastRenderedPageBreak/>
        <w:t>Zažgimo 21</w:t>
      </w:r>
      <w:r w:rsidR="009E1F15" w:rsidRPr="00AE6118">
        <w:rPr>
          <w:b/>
          <w:sz w:val="28"/>
          <w:szCs w:val="28"/>
        </w:rPr>
        <w:t xml:space="preserve"> – </w:t>
      </w:r>
      <w:r>
        <w:rPr>
          <w:b/>
          <w:sz w:val="28"/>
          <w:szCs w:val="28"/>
        </w:rPr>
        <w:t>Pitfire, crawling pa še kaj</w:t>
      </w:r>
    </w:p>
    <w:p w:rsidR="009E1F15" w:rsidRPr="00C74068" w:rsidRDefault="00C74068" w:rsidP="00C74068">
      <w:pPr>
        <w:jc w:val="both"/>
        <w:rPr>
          <w:b/>
          <w:sz w:val="28"/>
          <w:szCs w:val="28"/>
        </w:rPr>
      </w:pPr>
      <w:r>
        <w:rPr>
          <w:b/>
          <w:sz w:val="28"/>
          <w:szCs w:val="28"/>
        </w:rPr>
        <w:t xml:space="preserve">Labor, 1. </w:t>
      </w:r>
      <w:r w:rsidRPr="00C74068">
        <w:rPr>
          <w:b/>
          <w:sz w:val="28"/>
          <w:szCs w:val="28"/>
        </w:rPr>
        <w:t>in 2 julij 2023</w:t>
      </w:r>
    </w:p>
    <w:p w:rsidR="00AE6118" w:rsidRDefault="00C74068" w:rsidP="009E1F15">
      <w:pPr>
        <w:jc w:val="both"/>
        <w:rPr>
          <w:sz w:val="28"/>
          <w:szCs w:val="28"/>
        </w:rPr>
      </w:pPr>
      <w:r>
        <w:rPr>
          <w:sz w:val="28"/>
          <w:szCs w:val="28"/>
        </w:rPr>
        <w:t>Začnemo dopoldan najkasneje do 10.00. Najprej pripravimo pitfire v sodu ali v jami, nato nadaljujemo z žganji v plinski peči. Zagotovo pripravimo crawling glazuro, na voljo pa bodo tudi druge glazure za raku žganja. Za pitfire imejte že žgane izdelke do 15 cm, čim bolj kompaktne. Priporočljiva je šamotirana glina. Za crawling bodo v redu izdelki iz raku gline, ki pridejo prav tudi za druga raku žganja. Vmes bomo tudi delali na kakšnem skupinskem izdelku.</w:t>
      </w:r>
    </w:p>
    <w:p w:rsidR="00AE6118" w:rsidRDefault="00AE6118" w:rsidP="009E1F15">
      <w:pPr>
        <w:jc w:val="both"/>
        <w:rPr>
          <w:sz w:val="28"/>
          <w:szCs w:val="28"/>
        </w:rPr>
      </w:pPr>
    </w:p>
    <w:p w:rsidR="00AE6118" w:rsidRPr="00954CA7" w:rsidRDefault="00C74068" w:rsidP="009E1F15">
      <w:pPr>
        <w:jc w:val="both"/>
        <w:rPr>
          <w:b/>
          <w:sz w:val="28"/>
          <w:szCs w:val="28"/>
        </w:rPr>
      </w:pPr>
      <w:r>
        <w:rPr>
          <w:b/>
          <w:sz w:val="28"/>
          <w:szCs w:val="28"/>
        </w:rPr>
        <w:t>Zažgimo 22</w:t>
      </w:r>
      <w:r w:rsidR="00AE6118" w:rsidRPr="00954CA7">
        <w:rPr>
          <w:b/>
          <w:sz w:val="28"/>
          <w:szCs w:val="28"/>
        </w:rPr>
        <w:t xml:space="preserve"> – </w:t>
      </w:r>
      <w:r>
        <w:rPr>
          <w:b/>
          <w:sz w:val="28"/>
          <w:szCs w:val="28"/>
        </w:rPr>
        <w:t xml:space="preserve">goli raku </w:t>
      </w:r>
    </w:p>
    <w:p w:rsidR="00AE6118" w:rsidRPr="00954CA7" w:rsidRDefault="00AE6118" w:rsidP="009E1F15">
      <w:pPr>
        <w:jc w:val="both"/>
        <w:rPr>
          <w:b/>
          <w:sz w:val="28"/>
          <w:szCs w:val="28"/>
        </w:rPr>
      </w:pPr>
      <w:r w:rsidRPr="00954CA7">
        <w:rPr>
          <w:b/>
          <w:sz w:val="28"/>
          <w:szCs w:val="28"/>
        </w:rPr>
        <w:t xml:space="preserve">Labor, </w:t>
      </w:r>
      <w:r w:rsidR="001239F3">
        <w:rPr>
          <w:b/>
          <w:sz w:val="28"/>
          <w:szCs w:val="28"/>
        </w:rPr>
        <w:t>18. in 19.</w:t>
      </w:r>
      <w:r w:rsidRPr="00954CA7">
        <w:rPr>
          <w:b/>
          <w:sz w:val="28"/>
          <w:szCs w:val="28"/>
        </w:rPr>
        <w:t xml:space="preserve"> avgust 2022</w:t>
      </w:r>
    </w:p>
    <w:p w:rsidR="00954CA7" w:rsidRDefault="001239F3" w:rsidP="009E1F15">
      <w:pPr>
        <w:jc w:val="both"/>
        <w:rPr>
          <w:sz w:val="28"/>
          <w:szCs w:val="28"/>
        </w:rPr>
      </w:pPr>
      <w:r>
        <w:rPr>
          <w:sz w:val="28"/>
          <w:szCs w:val="28"/>
        </w:rPr>
        <w:t>Goli raku bo morda dobil družbo železovega klorida s folijo, pridružimo lahko še kaj. Za goli raku morajo biti izdelki iz raku gline dobro spolirani. Z delom začnemo v petek okoli 10.00 in nadaljujemo še naslednji dan, dokler nam ne zmanjka, najkasneje pa zvečer.</w:t>
      </w:r>
    </w:p>
    <w:p w:rsidR="00954CA7" w:rsidRDefault="00A672DB" w:rsidP="00A672DB">
      <w:pPr>
        <w:jc w:val="center"/>
        <w:rPr>
          <w:sz w:val="28"/>
          <w:szCs w:val="28"/>
        </w:rPr>
      </w:pPr>
      <w:r>
        <w:rPr>
          <w:noProof/>
          <w:sz w:val="28"/>
          <w:szCs w:val="28"/>
          <w:lang w:val="en-US"/>
        </w:rPr>
        <w:drawing>
          <wp:inline distT="0" distB="0" distL="0" distR="0">
            <wp:extent cx="5097780" cy="4185966"/>
            <wp:effectExtent l="0" t="0" r="762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211229_203810.jpg"/>
                    <pic:cNvPicPr/>
                  </pic:nvPicPr>
                  <pic:blipFill>
                    <a:blip r:embed="rId9">
                      <a:extLst>
                        <a:ext uri="{28A0092B-C50C-407E-A947-70E740481C1C}">
                          <a14:useLocalDpi xmlns:a14="http://schemas.microsoft.com/office/drawing/2010/main" val="0"/>
                        </a:ext>
                      </a:extLst>
                    </a:blip>
                    <a:stretch>
                      <a:fillRect/>
                    </a:stretch>
                  </pic:blipFill>
                  <pic:spPr>
                    <a:xfrm>
                      <a:off x="0" y="0"/>
                      <a:ext cx="5104232" cy="4191264"/>
                    </a:xfrm>
                    <a:prstGeom prst="rect">
                      <a:avLst/>
                    </a:prstGeom>
                  </pic:spPr>
                </pic:pic>
              </a:graphicData>
            </a:graphic>
          </wp:inline>
        </w:drawing>
      </w:r>
    </w:p>
    <w:p w:rsidR="00954CA7" w:rsidRDefault="00954CA7" w:rsidP="009E1F15">
      <w:pPr>
        <w:jc w:val="both"/>
        <w:rPr>
          <w:sz w:val="28"/>
          <w:szCs w:val="28"/>
        </w:rPr>
      </w:pPr>
      <w:r>
        <w:rPr>
          <w:sz w:val="28"/>
          <w:szCs w:val="28"/>
        </w:rPr>
        <w:t xml:space="preserve">Število razpoložljivih mest ni neomejeno, zato pohitite s prijavami. V delavnico je vključeno žganje izdelkov in vse potrebne glazure. Kotizacija znaša </w:t>
      </w:r>
      <w:r w:rsidR="001239F3">
        <w:rPr>
          <w:sz w:val="28"/>
          <w:szCs w:val="28"/>
        </w:rPr>
        <w:t>6</w:t>
      </w:r>
      <w:r>
        <w:rPr>
          <w:sz w:val="28"/>
          <w:szCs w:val="28"/>
        </w:rPr>
        <w:t>0 € za posamezno delavnico, za člane DLPP in mentorje v projektu »</w:t>
      </w:r>
      <w:r w:rsidR="001239F3">
        <w:rPr>
          <w:sz w:val="28"/>
          <w:szCs w:val="28"/>
        </w:rPr>
        <w:t>Terra mystica« velja znižana na 4</w:t>
      </w:r>
      <w:r>
        <w:rPr>
          <w:sz w:val="28"/>
          <w:szCs w:val="28"/>
        </w:rPr>
        <w:t>0 €, nagrajenci  bienala imajo eno delavnico brezplačno</w:t>
      </w:r>
      <w:r w:rsidR="001239F3">
        <w:rPr>
          <w:sz w:val="28"/>
          <w:szCs w:val="28"/>
        </w:rPr>
        <w:t xml:space="preserve"> (če je še niso izkoristili)</w:t>
      </w:r>
      <w:r w:rsidR="00A672DB">
        <w:rPr>
          <w:sz w:val="28"/>
          <w:szCs w:val="28"/>
        </w:rPr>
        <w:t>, člani komisije »Terra mystica« pa vse.</w:t>
      </w:r>
      <w:r w:rsidR="001239F3">
        <w:rPr>
          <w:sz w:val="28"/>
          <w:szCs w:val="28"/>
        </w:rPr>
        <w:t xml:space="preserve"> Vsaj eno poletno delavnico bomo izvedli na Mačjem Hribu (Truške).</w:t>
      </w:r>
      <w:r w:rsidR="00D022D0">
        <w:rPr>
          <w:sz w:val="28"/>
          <w:szCs w:val="28"/>
        </w:rPr>
        <w:t xml:space="preserve"> </w:t>
      </w:r>
    </w:p>
    <w:p w:rsidR="001239F3" w:rsidRDefault="001239F3" w:rsidP="009E1F15">
      <w:pPr>
        <w:jc w:val="both"/>
        <w:rPr>
          <w:sz w:val="28"/>
          <w:szCs w:val="28"/>
        </w:rPr>
      </w:pPr>
      <w:r>
        <w:rPr>
          <w:sz w:val="28"/>
          <w:szCs w:val="28"/>
        </w:rPr>
        <w:lastRenderedPageBreak/>
        <w:t>Na delavnicah bomo poskrbeli tudi za hrano in pijačo za vse udeležence (na posebno prošnjo upoštevamo tudi »Jaz tega ne jem, raje bi kaj drugega«), za kar se nam lahko zahva</w:t>
      </w:r>
      <w:r w:rsidR="00D022D0">
        <w:rPr>
          <w:sz w:val="28"/>
          <w:szCs w:val="28"/>
        </w:rPr>
        <w:t>lite s prostovoljnim prispevkom.</w:t>
      </w:r>
    </w:p>
    <w:p w:rsidR="00A672DB" w:rsidRPr="009E1F15" w:rsidRDefault="00A672DB" w:rsidP="009E1F15">
      <w:pPr>
        <w:jc w:val="both"/>
        <w:rPr>
          <w:sz w:val="28"/>
          <w:szCs w:val="28"/>
        </w:rPr>
      </w:pPr>
      <w:r>
        <w:rPr>
          <w:sz w:val="28"/>
          <w:szCs w:val="28"/>
        </w:rPr>
        <w:t>Glede prenočitve za delavnico na Mačjem hribu pr</w:t>
      </w:r>
      <w:r w:rsidR="001239F3">
        <w:rPr>
          <w:sz w:val="28"/>
          <w:szCs w:val="28"/>
        </w:rPr>
        <w:t>iporočam spanje v lastnem šotor</w:t>
      </w:r>
      <w:r>
        <w:rPr>
          <w:sz w:val="28"/>
          <w:szCs w:val="28"/>
        </w:rPr>
        <w:t>u na sami lokaciji, za delavnice v Laborju pa: nekaj je možnosti pri Igorju Kralju (ampak pohitite z rezervacijo), nekaj se jih dobi lahko tudi v bližnjih Truškah. Če želite pomoč pri urejanju prenočišča mi prosim čimprej sporočite.</w:t>
      </w:r>
    </w:p>
    <w:p w:rsidR="00D75E55" w:rsidRPr="00804ABB" w:rsidRDefault="00D75E55" w:rsidP="00804ABB">
      <w:pPr>
        <w:jc w:val="both"/>
        <w:rPr>
          <w:sz w:val="28"/>
          <w:szCs w:val="28"/>
        </w:rPr>
      </w:pPr>
    </w:p>
    <w:p w:rsidR="003F79F8" w:rsidRPr="003F79F8" w:rsidRDefault="003F79F8" w:rsidP="00FC07EA">
      <w:pPr>
        <w:jc w:val="both"/>
        <w:rPr>
          <w:sz w:val="28"/>
          <w:szCs w:val="28"/>
        </w:rPr>
      </w:pPr>
      <w:r w:rsidRPr="003F79F8">
        <w:rPr>
          <w:sz w:val="28"/>
          <w:szCs w:val="28"/>
        </w:rPr>
        <w:t xml:space="preserve">Info: Vasja 041 928270, </w:t>
      </w:r>
      <w:hyperlink r:id="rId10" w:history="1">
        <w:r w:rsidRPr="003F79F8">
          <w:rPr>
            <w:rStyle w:val="a3"/>
            <w:sz w:val="28"/>
            <w:szCs w:val="28"/>
          </w:rPr>
          <w:t>vasja.nanut@gmail.com</w:t>
        </w:r>
      </w:hyperlink>
    </w:p>
    <w:tbl>
      <w:tblPr>
        <w:tblW w:w="0" w:type="auto"/>
        <w:tblLook w:val="04A0" w:firstRow="1" w:lastRow="0" w:firstColumn="1" w:lastColumn="0" w:noHBand="0" w:noVBand="1"/>
      </w:tblPr>
      <w:tblGrid>
        <w:gridCol w:w="4494"/>
        <w:gridCol w:w="4578"/>
      </w:tblGrid>
      <w:tr w:rsidR="006313F5" w:rsidRPr="006313F5" w:rsidTr="00D75E55">
        <w:tc>
          <w:tcPr>
            <w:tcW w:w="9072" w:type="dxa"/>
            <w:gridSpan w:val="2"/>
            <w:shd w:val="clear" w:color="auto" w:fill="auto"/>
          </w:tcPr>
          <w:p w:rsidR="006313F5" w:rsidRPr="006313F5" w:rsidRDefault="006313F5" w:rsidP="006313F5">
            <w:pPr>
              <w:suppressAutoHyphens/>
              <w:spacing w:after="0" w:line="240" w:lineRule="auto"/>
              <w:jc w:val="center"/>
              <w:rPr>
                <w:rFonts w:ascii="Arial" w:eastAsia="Times New Roman" w:hAnsi="Arial" w:cs="Times New Roman"/>
                <w:sz w:val="28"/>
                <w:szCs w:val="28"/>
                <w:lang w:eastAsia="ar-SA"/>
              </w:rPr>
            </w:pPr>
            <w:r w:rsidRPr="006313F5">
              <w:rPr>
                <w:rFonts w:ascii="Arial" w:eastAsia="Times New Roman" w:hAnsi="Arial" w:cs="Times New Roman"/>
                <w:sz w:val="28"/>
                <w:szCs w:val="28"/>
                <w:lang w:eastAsia="ar-SA"/>
              </w:rPr>
              <w:t>V sodelovanju z:</w:t>
            </w:r>
          </w:p>
          <w:p w:rsidR="006313F5" w:rsidRPr="006313F5" w:rsidRDefault="006313F5" w:rsidP="006313F5">
            <w:pPr>
              <w:suppressAutoHyphens/>
              <w:spacing w:after="0" w:line="240" w:lineRule="auto"/>
              <w:jc w:val="center"/>
              <w:rPr>
                <w:rFonts w:ascii="Arial" w:eastAsia="Times New Roman" w:hAnsi="Arial" w:cs="Times New Roman"/>
                <w:sz w:val="28"/>
                <w:szCs w:val="28"/>
                <w:lang w:eastAsia="ar-SA"/>
              </w:rPr>
            </w:pPr>
          </w:p>
          <w:p w:rsidR="006313F5" w:rsidRPr="006313F5" w:rsidRDefault="006313F5" w:rsidP="006313F5">
            <w:pPr>
              <w:suppressAutoHyphens/>
              <w:spacing w:after="0" w:line="240" w:lineRule="auto"/>
              <w:jc w:val="center"/>
              <w:rPr>
                <w:rFonts w:ascii="Arial" w:eastAsia="Times New Roman" w:hAnsi="Arial" w:cs="Times New Roman"/>
                <w:sz w:val="28"/>
                <w:szCs w:val="28"/>
                <w:lang w:eastAsia="ar-SA"/>
              </w:rPr>
            </w:pPr>
          </w:p>
        </w:tc>
      </w:tr>
      <w:tr w:rsidR="006313F5" w:rsidRPr="006313F5" w:rsidTr="00D75E55">
        <w:tc>
          <w:tcPr>
            <w:tcW w:w="4494" w:type="dxa"/>
            <w:shd w:val="clear" w:color="auto" w:fill="auto"/>
          </w:tcPr>
          <w:p w:rsidR="006313F5" w:rsidRPr="006313F5" w:rsidRDefault="006313F5" w:rsidP="006313F5">
            <w:pPr>
              <w:suppressAutoHyphens/>
              <w:spacing w:after="0" w:line="240" w:lineRule="auto"/>
              <w:jc w:val="center"/>
              <w:rPr>
                <w:rFonts w:ascii="Arial" w:eastAsia="Times New Roman" w:hAnsi="Arial" w:cs="Times New Roman"/>
                <w:sz w:val="28"/>
                <w:szCs w:val="28"/>
                <w:lang w:eastAsia="ar-SA"/>
              </w:rPr>
            </w:pPr>
            <w:r w:rsidRPr="006313F5">
              <w:rPr>
                <w:rFonts w:ascii="Arial" w:eastAsia="Times New Roman" w:hAnsi="Arial" w:cs="Times New Roman"/>
                <w:noProof/>
                <w:sz w:val="28"/>
                <w:szCs w:val="28"/>
                <w:lang w:val="en-US"/>
              </w:rPr>
              <w:drawing>
                <wp:inline distT="0" distB="0" distL="0" distR="0">
                  <wp:extent cx="1630045" cy="1767205"/>
                  <wp:effectExtent l="0" t="0" r="8255" b="444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045" cy="1767205"/>
                          </a:xfrm>
                          <a:prstGeom prst="rect">
                            <a:avLst/>
                          </a:prstGeom>
                          <a:noFill/>
                        </pic:spPr>
                      </pic:pic>
                    </a:graphicData>
                  </a:graphic>
                </wp:inline>
              </w:drawing>
            </w:r>
          </w:p>
        </w:tc>
        <w:tc>
          <w:tcPr>
            <w:tcW w:w="4578" w:type="dxa"/>
            <w:shd w:val="clear" w:color="auto" w:fill="auto"/>
          </w:tcPr>
          <w:p w:rsidR="006313F5" w:rsidRPr="006313F5" w:rsidRDefault="006313F5" w:rsidP="006313F5">
            <w:pPr>
              <w:suppressAutoHyphens/>
              <w:spacing w:after="0" w:line="240" w:lineRule="auto"/>
              <w:jc w:val="center"/>
              <w:rPr>
                <w:rFonts w:ascii="Arial" w:eastAsia="Times New Roman" w:hAnsi="Arial" w:cs="Times New Roman"/>
                <w:sz w:val="28"/>
                <w:szCs w:val="28"/>
                <w:lang w:eastAsia="ar-SA"/>
              </w:rPr>
            </w:pPr>
            <w:r w:rsidRPr="006313F5">
              <w:rPr>
                <w:rFonts w:ascii="Arial" w:eastAsia="Times New Roman" w:hAnsi="Arial" w:cs="Times New Roman"/>
                <w:noProof/>
                <w:sz w:val="28"/>
                <w:szCs w:val="28"/>
                <w:lang w:val="en-US"/>
              </w:rPr>
              <w:drawing>
                <wp:inline distT="0" distB="0" distL="0" distR="0">
                  <wp:extent cx="2503170" cy="15621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3170" cy="1562100"/>
                          </a:xfrm>
                          <a:prstGeom prst="rect">
                            <a:avLst/>
                          </a:prstGeom>
                          <a:noFill/>
                        </pic:spPr>
                      </pic:pic>
                    </a:graphicData>
                  </a:graphic>
                </wp:inline>
              </w:drawing>
            </w:r>
          </w:p>
        </w:tc>
      </w:tr>
    </w:tbl>
    <w:p w:rsidR="006313F5" w:rsidRPr="003F79F8" w:rsidRDefault="006313F5" w:rsidP="00216051">
      <w:pPr>
        <w:jc w:val="center"/>
        <w:rPr>
          <w:sz w:val="28"/>
          <w:szCs w:val="28"/>
        </w:rPr>
      </w:pPr>
    </w:p>
    <w:sectPr w:rsidR="006313F5" w:rsidRPr="003F79F8" w:rsidSect="009E1F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236E"/>
    <w:multiLevelType w:val="hybridMultilevel"/>
    <w:tmpl w:val="3BF0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5028D"/>
    <w:multiLevelType w:val="hybridMultilevel"/>
    <w:tmpl w:val="16C0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51"/>
    <w:rsid w:val="00090009"/>
    <w:rsid w:val="000D37AC"/>
    <w:rsid w:val="001239F3"/>
    <w:rsid w:val="001F6E25"/>
    <w:rsid w:val="00216051"/>
    <w:rsid w:val="002F2BE1"/>
    <w:rsid w:val="0035135A"/>
    <w:rsid w:val="003F79F8"/>
    <w:rsid w:val="00543AB0"/>
    <w:rsid w:val="006313F5"/>
    <w:rsid w:val="00634603"/>
    <w:rsid w:val="00670A3D"/>
    <w:rsid w:val="00804ABB"/>
    <w:rsid w:val="00954CA7"/>
    <w:rsid w:val="00970D38"/>
    <w:rsid w:val="009E1F15"/>
    <w:rsid w:val="00A672DB"/>
    <w:rsid w:val="00AE6118"/>
    <w:rsid w:val="00C01E2C"/>
    <w:rsid w:val="00C74068"/>
    <w:rsid w:val="00D022D0"/>
    <w:rsid w:val="00D32979"/>
    <w:rsid w:val="00D75E55"/>
    <w:rsid w:val="00F653CB"/>
    <w:rsid w:val="00FC07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43B49-8217-4FA8-B3AE-CEA8E5DA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79F8"/>
    <w:rPr>
      <w:color w:val="0563C1" w:themeColor="hyperlink"/>
      <w:u w:val="single"/>
    </w:rPr>
  </w:style>
  <w:style w:type="paragraph" w:styleId="a4">
    <w:name w:val="List Paragraph"/>
    <w:basedOn w:val="a"/>
    <w:uiPriority w:val="34"/>
    <w:qFormat/>
    <w:rsid w:val="00543AB0"/>
    <w:pPr>
      <w:ind w:left="720"/>
      <w:contextualSpacing/>
    </w:pPr>
  </w:style>
  <w:style w:type="table" w:styleId="a5">
    <w:name w:val="Table Grid"/>
    <w:basedOn w:val="a1"/>
    <w:uiPriority w:val="39"/>
    <w:rsid w:val="00D3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hyperlink" Target="mailto:vasja.nanut@gmail.com"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2247</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dc:creator>
  <cp:keywords/>
  <dc:description/>
  <cp:lastModifiedBy>Olga Rezanova</cp:lastModifiedBy>
  <cp:revision>2</cp:revision>
  <dcterms:created xsi:type="dcterms:W3CDTF">2023-05-14T22:52:00Z</dcterms:created>
  <dcterms:modified xsi:type="dcterms:W3CDTF">2023-05-14T22:52:00Z</dcterms:modified>
</cp:coreProperties>
</file>